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062D9">
      <w:pPr>
        <w:ind w:right="-86" w:rightChars="-41"/>
        <w:jc w:val="center"/>
        <w:rPr>
          <w:rFonts w:ascii="方正小标宋简体" w:hAnsi="Times New Roman" w:eastAsia="方正小标宋简体" w:cs="Times New Roman"/>
          <w:b/>
          <w:color w:val="FF0000"/>
          <w:spacing w:val="156"/>
          <w:w w:val="80"/>
          <w:kern w:val="0"/>
          <w:sz w:val="52"/>
          <w:szCs w:val="52"/>
        </w:rPr>
      </w:pPr>
      <w:r>
        <w:rPr>
          <w:rFonts w:hint="eastAsia" w:ascii="方正小标宋简体" w:hAnsi="Times New Roman" w:eastAsia="方正小标宋简体" w:cs="Times New Roman"/>
          <w:b/>
          <w:color w:val="FF0000"/>
          <w:spacing w:val="156"/>
          <w:w w:val="80"/>
          <w:kern w:val="0"/>
          <w:sz w:val="52"/>
          <w:szCs w:val="52"/>
        </w:rPr>
        <w:t>北京市通州区教师研修中心</w:t>
      </w:r>
    </w:p>
    <w:p w14:paraId="613F6D4E">
      <w:pPr>
        <w:ind w:right="-86" w:rightChars="-41"/>
        <w:jc w:val="center"/>
        <w:rPr>
          <w:rFonts w:hint="eastAsia" w:ascii="方正小标宋简体" w:hAnsi="Times New Roman" w:eastAsia="方正小标宋简体" w:cs="Times New Roman"/>
          <w:b/>
          <w:color w:val="FF0000"/>
          <w:spacing w:val="230"/>
          <w:w w:val="80"/>
          <w:kern w:val="0"/>
          <w:sz w:val="52"/>
          <w:szCs w:val="52"/>
        </w:rPr>
      </w:pPr>
      <w:r>
        <w:rPr>
          <w:rFonts w:hint="eastAsia" w:ascii="方正小标宋简体" w:hAnsi="Times New Roman" w:eastAsia="方正小标宋简体" w:cs="Times New Roman"/>
          <w:b/>
          <w:color w:val="FF0000"/>
          <w:spacing w:val="230"/>
          <w:w w:val="80"/>
          <w:kern w:val="0"/>
          <w:sz w:val="52"/>
          <w:szCs w:val="52"/>
        </w:rPr>
        <w:t>北京教育学院通州分院</w:t>
      </w:r>
    </w:p>
    <w:p w14:paraId="752FBEAA">
      <w:pPr>
        <w:spacing w:line="560" w:lineRule="exact"/>
        <w:jc w:val="center"/>
        <w:rPr>
          <w:rFonts w:ascii="仿宋_GB2312" w:hAnsi="仿宋" w:eastAsia="仿宋_GB2312" w:cs="Times New Roman"/>
          <w:sz w:val="44"/>
          <w:szCs w:val="44"/>
        </w:rPr>
      </w:pPr>
      <w:r>
        <w:rPr>
          <w:rFonts w:hint="eastAsia" w:ascii="方正小标宋简体" w:hAnsi="Times New Roman" w:eastAsia="方正小标宋简体" w:cs="Times New Roman"/>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45085</wp:posOffset>
                </wp:positionV>
                <wp:extent cx="5613400" cy="0"/>
                <wp:effectExtent l="0" t="10795" r="6350" b="17780"/>
                <wp:wrapNone/>
                <wp:docPr id="13" name="直接连接符 13"/>
                <wp:cNvGraphicFramePr/>
                <a:graphic xmlns:a="http://schemas.openxmlformats.org/drawingml/2006/main">
                  <a:graphicData uri="http://schemas.microsoft.com/office/word/2010/wordprocessingShape">
                    <wps:wsp>
                      <wps:cNvCnPr/>
                      <wps:spPr>
                        <a:xfrm flipV="1">
                          <a:off x="0" y="0"/>
                          <a:ext cx="56134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6pt;margin-top:3.55pt;height:0pt;width:442pt;z-index:251659264;mso-width-relative:page;mso-height-relative:page;" filled="f" stroked="t" coordsize="21600,21600" o:gfxdata="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By8jVAAAABgEAAA8AAAAAAAAAAQAgAAAAIgAAAGRycy9kb3ducmV2&#10;LnhtbFBLAQIUABQAAAAIAIdO4kBXr4Fm/wEAAPEDAAAOAAAAAAAAAAEAIAAAACQBAABkcnMvZTJv&#10;RG9jLnhtbFBLBQYAAAAABgAGAFkBAACVBQAAAAA=&#10;">
                <v:fill on="f" focussize="0,0"/>
                <v:stroke weight="1.75pt" color="#FF0000" joinstyle="round"/>
                <v:imagedata o:title=""/>
                <o:lock v:ext="edit" aspectratio="f"/>
              </v:line>
            </w:pict>
          </mc:Fallback>
        </mc:AlternateContent>
      </w:r>
    </w:p>
    <w:p w14:paraId="478DD759">
      <w:pPr>
        <w:jc w:val="center"/>
        <w:rPr>
          <w:rFonts w:hint="eastAsia"/>
          <w:sz w:val="36"/>
        </w:rPr>
      </w:pPr>
    </w:p>
    <w:p w14:paraId="3D6714D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通州区教育科学“十</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rPr>
        <w:t>五”规划202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w:t>
      </w:r>
    </w:p>
    <w:p w14:paraId="19BC3513">
      <w:pPr>
        <w:jc w:val="center"/>
      </w:pPr>
      <w:r>
        <w:rPr>
          <w:rFonts w:hint="eastAsia" w:ascii="方正小标宋简体" w:hAnsi="方正小标宋简体" w:eastAsia="方正小标宋简体" w:cs="方正小标宋简体"/>
          <w:sz w:val="44"/>
          <w:szCs w:val="44"/>
        </w:rPr>
        <w:t>课题申报通知</w:t>
      </w:r>
    </w:p>
    <w:p w14:paraId="7A983BEB">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通州区各中小学、幼儿园，职业学校、成人学校、社区教育学院、青少年活动中心、特教中心及各直属单位</w:t>
      </w:r>
      <w:r>
        <w:rPr>
          <w:rFonts w:hint="eastAsia" w:ascii="仿宋_GB2312" w:hAnsi="仿宋_GB2312" w:eastAsia="仿宋_GB2312" w:cs="仿宋_GB2312"/>
          <w:sz w:val="32"/>
          <w:szCs w:val="32"/>
        </w:rPr>
        <w:t>：</w:t>
      </w:r>
    </w:p>
    <w:p w14:paraId="2B655AAC">
      <w:pPr>
        <w:ind w:firstLine="55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通州区教育科学“十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五”规划202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年度课题申报工作开始启动。</w:t>
      </w:r>
      <w:r>
        <w:rPr>
          <w:rFonts w:hint="eastAsia" w:ascii="仿宋_GB2312" w:hAnsi="仿宋_GB2312" w:eastAsia="仿宋_GB2312" w:cs="仿宋_GB2312"/>
          <w:sz w:val="32"/>
          <w:szCs w:val="32"/>
          <w:lang w:val="en-US" w:eastAsia="zh-CN"/>
        </w:rPr>
        <w:t>请各单位根据</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年度课题指南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，组织教师进行</w:t>
      </w:r>
      <w:r>
        <w:rPr>
          <w:rFonts w:hint="eastAsia" w:ascii="仿宋_GB2312" w:hAnsi="仿宋_GB2312" w:eastAsia="仿宋_GB2312" w:cs="仿宋_GB2312"/>
          <w:sz w:val="32"/>
          <w:szCs w:val="32"/>
          <w:lang w:val="en-US" w:eastAsia="zh-CN"/>
        </w:rPr>
        <w:t>学习，确定课题名称，撰写申报书等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课题申报平台为</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通州区教育科研课题管理系统</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访问网址</w:t>
      </w:r>
      <w:r>
        <w:rPr>
          <w:rFonts w:hint="eastAsia" w:ascii="仿宋_GB2312" w:hAnsi="仿宋_GB2312" w:eastAsia="仿宋_GB2312" w:cs="仿宋_GB2312"/>
          <w:sz w:val="32"/>
          <w:szCs w:val="32"/>
        </w:rPr>
        <w:t>http://58.131.210.87/），</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时间为202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至3月18日</w:t>
      </w:r>
      <w:r>
        <w:rPr>
          <w:rFonts w:hint="eastAsia" w:ascii="仿宋_GB2312" w:hAnsi="仿宋_GB2312" w:eastAsia="仿宋_GB2312" w:cs="仿宋_GB2312"/>
          <w:sz w:val="32"/>
          <w:szCs w:val="32"/>
        </w:rPr>
        <w:t>。</w:t>
      </w:r>
    </w:p>
    <w:p w14:paraId="52D5A5C3">
      <w:pPr>
        <w:ind w:firstLine="55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附件1：通州区教育科学“十四五”规划2026年度课题指南</w:t>
      </w:r>
    </w:p>
    <w:p w14:paraId="34425C9D">
      <w:pPr>
        <w:ind w:firstLine="3520" w:firstLineChars="110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 通州区教师研修中心  教科研部</w:t>
      </w:r>
    </w:p>
    <w:p w14:paraId="1DCA2DC7">
      <w:pPr>
        <w:ind w:firstLine="55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438395F5">
      <w:pPr>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（联系人：高海燕、王蕾    电话：52113022）</w:t>
      </w:r>
    </w:p>
    <w:p w14:paraId="6DACCCC6">
      <w:pPr>
        <w:pStyle w:val="5"/>
        <w:spacing w:line="560" w:lineRule="exact"/>
        <w:rPr>
          <w:rFonts w:hAnsi="方正小标宋简体" w:cs="方正小标宋简体"/>
        </w:rPr>
      </w:pPr>
      <w:r>
        <w:rPr>
          <w:rFonts w:hint="eastAsia" w:hAnsi="方正小标宋简体" w:cs="方正小标宋简体"/>
        </w:rPr>
        <w:t>通州区教育科学“十五五”规划</w:t>
      </w:r>
    </w:p>
    <w:p w14:paraId="36BB5042">
      <w:pPr>
        <w:pStyle w:val="5"/>
        <w:spacing w:line="560" w:lineRule="exact"/>
        <w:rPr>
          <w:rFonts w:hAnsi="方正小标宋简体" w:cs="方正小标宋简体"/>
        </w:rPr>
      </w:pPr>
      <w:r>
        <w:rPr>
          <w:rFonts w:hint="eastAsia" w:hAnsi="方正小标宋简体" w:cs="方正小标宋简体"/>
        </w:rPr>
        <w:t>2026年度课题指南</w:t>
      </w:r>
    </w:p>
    <w:p w14:paraId="2FCD888E"/>
    <w:p w14:paraId="6C128195">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为深入贯彻落实党的二十大及二十届三中、四中全会精神，贯彻落实习近平总书记关于教育的重要论述及教育家精神，贯彻落实全国和北京市教育工作会议精神，进一步提升首都教育现代化水平与教育强国建设支撑能力，促进首都教育科研事业高质量发展，按照国家与北京市关于“十四五”规划收官、“十五五”规划谋划部署要求，依据《教育部关于加强新时代教育科学研究工作的意见》《教育部等九部门关于加快推进教育数字化的意见》等文件精神，进一步提升北京城市副中心高质量建设背景下通州区教育现代化与数字化转型水平，回应教育改革发展过程中的重点、难点、热点问题，助力区域教育优质均衡发展，制定本年度规划课题指南。本指南对我区下一阶段课题研究领域、研究范围和选题方向提出建议，具体研究课题名称和研究内容由研究者确定。</w:t>
      </w:r>
    </w:p>
    <w:p w14:paraId="16E64C9D">
      <w:pPr>
        <w:widowControl/>
        <w:adjustRightInd w:val="0"/>
        <w:snapToGrid w:val="0"/>
        <w:spacing w:line="560" w:lineRule="exact"/>
        <w:ind w:firstLine="640" w:firstLineChars="200"/>
        <w:jc w:val="left"/>
        <w:rPr>
          <w:rFonts w:ascii="仿宋_GB2312" w:hAnsi="仿宋_GB2312" w:eastAsia="仿宋_GB2312" w:cs="仿宋_GB2312"/>
          <w:sz w:val="32"/>
          <w:szCs w:val="22"/>
        </w:rPr>
      </w:pPr>
      <w:r>
        <w:rPr>
          <w:rFonts w:hint="eastAsia" w:ascii="黑体" w:hAnsi="黑体" w:eastAsia="黑体" w:cs="黑体"/>
          <w:kern w:val="0"/>
          <w:sz w:val="32"/>
          <w:szCs w:val="32"/>
        </w:rPr>
        <w:t xml:space="preserve">一、课程、教学、评价改革研究 </w:t>
      </w:r>
    </w:p>
    <w:p w14:paraId="42D540EF">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1.贯彻、落实“课创计划”研究</w:t>
      </w:r>
    </w:p>
    <w:p w14:paraId="1FA7F442">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 xml:space="preserve">2.新时代背景下集团化办学研究 </w:t>
      </w:r>
    </w:p>
    <w:p w14:paraId="262B4BAE">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 xml:space="preserve">3.普通高中多样化特色发展研究 </w:t>
      </w:r>
    </w:p>
    <w:p w14:paraId="35789EE1">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4.“托幼一体化”协同育人实践研究</w:t>
      </w:r>
    </w:p>
    <w:p w14:paraId="52096B72">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5.中、小、幼学段贯通培养研究</w:t>
      </w:r>
    </w:p>
    <w:p w14:paraId="7E89AF1C">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6.学科领航校、教科研领航校建设研究</w:t>
      </w:r>
    </w:p>
    <w:p w14:paraId="19EFAAA4">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7.特殊教育发展研究</w:t>
      </w:r>
    </w:p>
    <w:p w14:paraId="7810C746">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8.校外教育发展研究</w:t>
      </w:r>
    </w:p>
    <w:p w14:paraId="574BD6B4">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9.社区教育培训内容与形式创新研究</w:t>
      </w:r>
    </w:p>
    <w:p w14:paraId="0C0E41D0">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10.核心素养导向下教学方式改革研究</w:t>
      </w:r>
    </w:p>
    <w:p w14:paraId="688A3DE0">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11.科学教育实践模式与实效性研究</w:t>
      </w:r>
    </w:p>
    <w:p w14:paraId="293971DA">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12.跨学科主题学习活动实践研究</w:t>
      </w:r>
    </w:p>
    <w:p w14:paraId="6CA46213">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13.“课间一刻钟”促进学生身心健康发展研究</w:t>
      </w:r>
    </w:p>
    <w:p w14:paraId="49CD8FE5">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14.新时代背景下课程教学质量评价研究</w:t>
      </w:r>
    </w:p>
    <w:p w14:paraId="65F54697">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15.核心素养导向下教学评一致性研究</w:t>
      </w:r>
    </w:p>
    <w:p w14:paraId="28773546">
      <w:pPr>
        <w:widowControl/>
        <w:adjustRightInd w:val="0"/>
        <w:snapToGrid w:val="0"/>
        <w:spacing w:line="560" w:lineRule="exact"/>
        <w:ind w:firstLine="640" w:firstLineChars="200"/>
        <w:jc w:val="left"/>
        <w:rPr>
          <w:rFonts w:ascii="仿宋_GB2312" w:hAnsi="仿宋_GB2312" w:eastAsia="仿宋_GB2312" w:cs="仿宋_GB2312"/>
          <w:sz w:val="32"/>
          <w:szCs w:val="22"/>
        </w:rPr>
      </w:pPr>
      <w:r>
        <w:rPr>
          <w:rFonts w:hint="eastAsia" w:ascii="黑体" w:hAnsi="黑体" w:eastAsia="黑体" w:cs="黑体"/>
          <w:kern w:val="0"/>
          <w:sz w:val="32"/>
          <w:szCs w:val="32"/>
        </w:rPr>
        <w:t xml:space="preserve">二、学生发展研究 </w:t>
      </w:r>
    </w:p>
    <w:p w14:paraId="6D45569A">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16.学生素养培养研究（科学、审美、阅读、劳动、人工智能等）</w:t>
      </w:r>
    </w:p>
    <w:p w14:paraId="0DF0855D">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ascii="仿宋_GB2312" w:hAnsi="仿宋_GB2312" w:eastAsia="仿宋_GB2312" w:cs="仿宋_GB2312"/>
          <w:sz w:val="32"/>
          <w:szCs w:val="22"/>
        </w:rPr>
        <w:t>7.</w:t>
      </w:r>
      <w:r>
        <w:rPr>
          <w:rFonts w:hint="eastAsia" w:ascii="仿宋_GB2312" w:hAnsi="仿宋_GB2312" w:eastAsia="仿宋_GB2312" w:cs="仿宋_GB2312"/>
          <w:sz w:val="32"/>
          <w:szCs w:val="22"/>
        </w:rPr>
        <w:t>学生创新思维培养研究</w:t>
      </w:r>
    </w:p>
    <w:p w14:paraId="6DA6752C">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ascii="仿宋_GB2312" w:hAnsi="仿宋_GB2312" w:eastAsia="仿宋_GB2312" w:cs="仿宋_GB2312"/>
          <w:sz w:val="32"/>
          <w:szCs w:val="22"/>
        </w:rPr>
        <w:t>8</w:t>
      </w:r>
      <w:r>
        <w:rPr>
          <w:rFonts w:hint="eastAsia" w:ascii="仿宋_GB2312" w:hAnsi="仿宋_GB2312" w:eastAsia="仿宋_GB2312" w:cs="仿宋_GB2312"/>
          <w:sz w:val="32"/>
          <w:szCs w:val="22"/>
        </w:rPr>
        <w:t>.中小学生自主学习能力及其培养策略研究</w:t>
      </w:r>
    </w:p>
    <w:p w14:paraId="70DCA8DA">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ascii="仿宋_GB2312" w:hAnsi="仿宋_GB2312" w:eastAsia="仿宋_GB2312" w:cs="仿宋_GB2312"/>
          <w:sz w:val="32"/>
          <w:szCs w:val="22"/>
        </w:rPr>
        <w:t>9</w:t>
      </w:r>
      <w:r>
        <w:rPr>
          <w:rFonts w:hint="eastAsia" w:ascii="仿宋_GB2312" w:hAnsi="仿宋_GB2312" w:eastAsia="仿宋_GB2312" w:cs="仿宋_GB2312"/>
          <w:sz w:val="32"/>
          <w:szCs w:val="22"/>
        </w:rPr>
        <w:t>.学习困难学生成因及对策研究</w:t>
      </w:r>
    </w:p>
    <w:p w14:paraId="3EEA7274">
      <w:pPr>
        <w:widowControl/>
        <w:numPr>
          <w:ilvl w:val="0"/>
          <w:numId w:val="1"/>
        </w:numPr>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 xml:space="preserve">教育人才队伍建设研究 </w:t>
      </w:r>
    </w:p>
    <w:p w14:paraId="2FDA32B0">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ascii="仿宋_GB2312" w:hAnsi="仿宋_GB2312" w:eastAsia="仿宋_GB2312" w:cs="仿宋_GB2312"/>
          <w:sz w:val="32"/>
          <w:szCs w:val="22"/>
        </w:rPr>
        <w:t>0.</w:t>
      </w:r>
      <w:r>
        <w:rPr>
          <w:rFonts w:hint="eastAsia" w:ascii="仿宋_GB2312" w:hAnsi="仿宋_GB2312" w:eastAsia="仿宋_GB2312" w:cs="仿宋_GB2312"/>
          <w:sz w:val="32"/>
          <w:szCs w:val="22"/>
        </w:rPr>
        <w:t>新时代背景下师德师风建设研究</w:t>
      </w:r>
    </w:p>
    <w:p w14:paraId="6A2A5D52">
      <w:pPr>
        <w:spacing w:line="560" w:lineRule="exact"/>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ascii="仿宋_GB2312" w:hAnsi="仿宋_GB2312" w:eastAsia="仿宋_GB2312" w:cs="仿宋_GB2312"/>
          <w:sz w:val="32"/>
          <w:szCs w:val="22"/>
        </w:rPr>
        <w:t>1.</w:t>
      </w:r>
      <w:r>
        <w:rPr>
          <w:rFonts w:hint="eastAsia" w:ascii="仿宋_GB2312" w:hAnsi="仿宋_GB2312" w:eastAsia="仿宋_GB2312" w:cs="仿宋_GB2312"/>
          <w:sz w:val="32"/>
          <w:szCs w:val="22"/>
        </w:rPr>
        <w:t>教育家精神融入干部、教师队伍建设研究</w:t>
      </w:r>
    </w:p>
    <w:p w14:paraId="359B67B1">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ascii="仿宋_GB2312" w:hAnsi="仿宋_GB2312" w:eastAsia="仿宋_GB2312" w:cs="仿宋_GB2312"/>
          <w:sz w:val="32"/>
          <w:szCs w:val="22"/>
        </w:rPr>
        <w:t>2.</w:t>
      </w:r>
      <w:r>
        <w:rPr>
          <w:rFonts w:hint="eastAsia" w:ascii="仿宋_GB2312" w:hAnsi="仿宋_GB2312" w:eastAsia="仿宋_GB2312" w:cs="仿宋_GB2312"/>
          <w:sz w:val="32"/>
          <w:szCs w:val="22"/>
        </w:rPr>
        <w:t>校（园）本研修实效性研究（教育、科研、培训融合等）</w:t>
      </w:r>
    </w:p>
    <w:p w14:paraId="43F8BB90">
      <w:pPr>
        <w:spacing w:line="560" w:lineRule="exact"/>
        <w:ind w:firstLine="640" w:firstLineChars="200"/>
        <w:rPr>
          <w:rFonts w:ascii="仿宋_GB2312" w:hAnsi="仿宋_GB2312" w:eastAsia="仿宋_GB2312" w:cs="仿宋_GB2312"/>
          <w:sz w:val="32"/>
          <w:szCs w:val="22"/>
        </w:rPr>
      </w:pPr>
      <w:r>
        <w:rPr>
          <w:rFonts w:ascii="仿宋_GB2312" w:hAnsi="仿宋_GB2312" w:eastAsia="仿宋_GB2312" w:cs="仿宋_GB2312"/>
          <w:sz w:val="32"/>
          <w:szCs w:val="22"/>
        </w:rPr>
        <w:t>23</w:t>
      </w:r>
      <w:r>
        <w:rPr>
          <w:rFonts w:hint="eastAsia" w:ascii="仿宋_GB2312" w:hAnsi="仿宋_GB2312" w:eastAsia="仿宋_GB2312" w:cs="仿宋_GB2312"/>
          <w:sz w:val="32"/>
          <w:szCs w:val="22"/>
        </w:rPr>
        <w:t>.卓越教师（优秀班主任）培养研究</w:t>
      </w:r>
    </w:p>
    <w:p w14:paraId="3BBAD5FD">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 xml:space="preserve">四、教育信息化研究 </w:t>
      </w:r>
    </w:p>
    <w:p w14:paraId="6E928621">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ascii="仿宋_GB2312" w:hAnsi="仿宋_GB2312" w:eastAsia="仿宋_GB2312" w:cs="仿宋_GB2312"/>
          <w:sz w:val="32"/>
          <w:szCs w:val="22"/>
        </w:rPr>
        <w:t>4</w:t>
      </w:r>
      <w:r>
        <w:rPr>
          <w:rFonts w:hint="eastAsia" w:ascii="仿宋_GB2312" w:hAnsi="仿宋_GB2312" w:eastAsia="仿宋_GB2312" w:cs="仿宋_GB2312"/>
          <w:sz w:val="32"/>
          <w:szCs w:val="22"/>
        </w:rPr>
        <w:t>.数字化赋能学校高质量发展研究</w:t>
      </w:r>
    </w:p>
    <w:p w14:paraId="6923CC35">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ascii="仿宋_GB2312" w:hAnsi="仿宋_GB2312" w:eastAsia="仿宋_GB2312" w:cs="仿宋_GB2312"/>
          <w:sz w:val="32"/>
          <w:szCs w:val="22"/>
        </w:rPr>
        <w:t>5.</w:t>
      </w:r>
      <w:r>
        <w:rPr>
          <w:rFonts w:hint="eastAsia" w:ascii="仿宋_GB2312" w:hAnsi="仿宋_GB2312" w:eastAsia="仿宋_GB2312" w:cs="仿宋_GB2312"/>
          <w:sz w:val="32"/>
          <w:szCs w:val="22"/>
        </w:rPr>
        <w:t xml:space="preserve">人工智能支持下新型教与学模式研究（个性化学习、分层作业等） </w:t>
      </w:r>
    </w:p>
    <w:p w14:paraId="7F59A677">
      <w:pPr>
        <w:spacing w:line="560" w:lineRule="exact"/>
        <w:ind w:firstLine="640" w:firstLineChars="200"/>
        <w:rPr>
          <w:rFonts w:ascii="仿宋_GB2312" w:hAnsi="仿宋_GB2312" w:eastAsia="仿宋_GB2312" w:cs="仿宋_GB2312"/>
          <w:sz w:val="32"/>
          <w:szCs w:val="22"/>
        </w:rPr>
      </w:pPr>
      <w:r>
        <w:rPr>
          <w:rFonts w:ascii="仿宋_GB2312" w:hAnsi="仿宋_GB2312" w:eastAsia="仿宋_GB2312" w:cs="仿宋_GB2312"/>
          <w:sz w:val="32"/>
          <w:szCs w:val="22"/>
        </w:rPr>
        <w:t>26.</w:t>
      </w:r>
      <w:r>
        <w:rPr>
          <w:rFonts w:hint="eastAsia" w:ascii="仿宋_GB2312" w:hAnsi="仿宋_GB2312" w:eastAsia="仿宋_GB2312" w:cs="仿宋_GB2312"/>
          <w:sz w:val="32"/>
          <w:szCs w:val="22"/>
        </w:rPr>
        <w:t>中小学“双师课堂”实施策略及效果评价研究</w:t>
      </w:r>
    </w:p>
    <w:p w14:paraId="1EC6CBCC">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ascii="仿宋_GB2312" w:hAnsi="仿宋_GB2312" w:eastAsia="仿宋_GB2312" w:cs="仿宋_GB2312"/>
          <w:sz w:val="32"/>
          <w:szCs w:val="22"/>
        </w:rPr>
        <w:t>7.</w:t>
      </w:r>
      <w:r>
        <w:rPr>
          <w:rFonts w:hint="eastAsia" w:ascii="仿宋_GB2312" w:hAnsi="仿宋_GB2312" w:eastAsia="仿宋_GB2312" w:cs="仿宋_GB2312"/>
          <w:sz w:val="32"/>
          <w:szCs w:val="22"/>
        </w:rPr>
        <w:t>大数据精准支持教学研究</w:t>
      </w:r>
    </w:p>
    <w:p w14:paraId="5B278DD9">
      <w:pPr>
        <w:widowControl/>
        <w:adjustRightInd w:val="0"/>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五、德育与心理健康研究</w:t>
      </w:r>
    </w:p>
    <w:p w14:paraId="3B880178">
      <w:pPr>
        <w:spacing w:line="560" w:lineRule="exact"/>
        <w:ind w:firstLine="640" w:firstLineChars="200"/>
        <w:rPr>
          <w:rFonts w:ascii="仿宋_GB2312" w:hAnsi="仿宋_GB2312" w:eastAsia="仿宋_GB2312" w:cs="仿宋_GB2312"/>
          <w:sz w:val="32"/>
          <w:szCs w:val="22"/>
        </w:rPr>
      </w:pPr>
      <w:r>
        <w:rPr>
          <w:rFonts w:ascii="仿宋_GB2312" w:hAnsi="仿宋_GB2312" w:eastAsia="仿宋_GB2312" w:cs="仿宋_GB2312"/>
          <w:sz w:val="32"/>
          <w:szCs w:val="22"/>
        </w:rPr>
        <w:t>28</w:t>
      </w:r>
      <w:r>
        <w:rPr>
          <w:rFonts w:hint="eastAsia" w:ascii="仿宋_GB2312" w:hAnsi="仿宋_GB2312" w:eastAsia="仿宋_GB2312" w:cs="仿宋_GB2312"/>
          <w:sz w:val="32"/>
          <w:szCs w:val="22"/>
        </w:rPr>
        <w:t>.大中小学思政教育一体化研究</w:t>
      </w:r>
    </w:p>
    <w:p w14:paraId="02874F8B">
      <w:pPr>
        <w:spacing w:line="560" w:lineRule="exact"/>
        <w:ind w:firstLine="640" w:firstLineChars="200"/>
        <w:rPr>
          <w:rFonts w:ascii="仿宋_GB2312" w:hAnsi="仿宋_GB2312" w:eastAsia="仿宋_GB2312" w:cs="仿宋_GB2312"/>
          <w:sz w:val="32"/>
          <w:szCs w:val="22"/>
        </w:rPr>
      </w:pPr>
      <w:r>
        <w:rPr>
          <w:rFonts w:ascii="仿宋_GB2312" w:hAnsi="仿宋_GB2312" w:eastAsia="仿宋_GB2312" w:cs="仿宋_GB2312"/>
          <w:sz w:val="32"/>
          <w:szCs w:val="22"/>
        </w:rPr>
        <w:t>29</w:t>
      </w:r>
      <w:r>
        <w:rPr>
          <w:rFonts w:hint="eastAsia" w:ascii="仿宋_GB2312" w:hAnsi="仿宋_GB2312" w:eastAsia="仿宋_GB2312" w:cs="仿宋_GB2312"/>
          <w:sz w:val="32"/>
          <w:szCs w:val="22"/>
        </w:rPr>
        <w:t>.家校社协同育人实践研究</w:t>
      </w:r>
    </w:p>
    <w:p w14:paraId="32559575">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3</w:t>
      </w:r>
      <w:r>
        <w:rPr>
          <w:rFonts w:ascii="仿宋_GB2312" w:hAnsi="仿宋_GB2312" w:eastAsia="仿宋_GB2312" w:cs="仿宋_GB2312"/>
          <w:sz w:val="32"/>
          <w:szCs w:val="22"/>
        </w:rPr>
        <w:t>0.</w:t>
      </w:r>
      <w:r>
        <w:rPr>
          <w:rFonts w:hint="eastAsia" w:ascii="仿宋_GB2312" w:hAnsi="仿宋_GB2312" w:eastAsia="仿宋_GB2312" w:cs="仿宋_GB2312"/>
          <w:sz w:val="32"/>
          <w:szCs w:val="22"/>
        </w:rPr>
        <w:t>思想政治教育与学科教学有机融合实践研究</w:t>
      </w:r>
    </w:p>
    <w:p w14:paraId="6A1A475D">
      <w:pPr>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3</w:t>
      </w:r>
      <w:r>
        <w:rPr>
          <w:rFonts w:ascii="仿宋_GB2312" w:hAnsi="仿宋_GB2312" w:eastAsia="仿宋_GB2312" w:cs="仿宋_GB2312"/>
          <w:sz w:val="32"/>
          <w:szCs w:val="22"/>
        </w:rPr>
        <w:t>1.</w:t>
      </w:r>
      <w:r>
        <w:rPr>
          <w:rFonts w:hint="eastAsia" w:ascii="仿宋_GB2312" w:hAnsi="仿宋_GB2312" w:eastAsia="仿宋_GB2312" w:cs="仿宋_GB2312"/>
          <w:sz w:val="32"/>
          <w:szCs w:val="22"/>
        </w:rPr>
        <w:t>学生心理健康问题及干预策略研究</w:t>
      </w:r>
    </w:p>
    <w:p w14:paraId="55EFF9AD">
      <w:pPr>
        <w:spacing w:line="560" w:lineRule="exact"/>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3</w:t>
      </w:r>
      <w:r>
        <w:rPr>
          <w:rFonts w:ascii="仿宋_GB2312" w:hAnsi="仿宋_GB2312" w:eastAsia="仿宋_GB2312" w:cs="仿宋_GB2312"/>
          <w:sz w:val="32"/>
          <w:szCs w:val="22"/>
        </w:rPr>
        <w:t>2.</w:t>
      </w:r>
      <w:r>
        <w:rPr>
          <w:rFonts w:hint="eastAsia" w:ascii="仿宋_GB2312" w:hAnsi="仿宋_GB2312" w:eastAsia="仿宋_GB2312" w:cs="仿宋_GB2312"/>
          <w:sz w:val="32"/>
          <w:szCs w:val="22"/>
        </w:rPr>
        <w:t>学生发展指导（理想、学业、心理、生活、生涯）实践研究</w:t>
      </w:r>
    </w:p>
    <w:p w14:paraId="6010B7D4">
      <w:pPr>
        <w:widowControl/>
        <w:adjustRightInd w:val="0"/>
        <w:snapToGrid w:val="0"/>
        <w:spacing w:line="560" w:lineRule="exact"/>
        <w:ind w:firstLine="640" w:firstLineChars="20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其他</w:t>
      </w:r>
    </w:p>
    <w:p w14:paraId="37257CAA">
      <w:pPr>
        <w:spacing w:line="560" w:lineRule="exact"/>
        <w:ind w:firstLine="640" w:firstLineChars="200"/>
        <w:rPr>
          <w:rFonts w:hint="eastAsia" w:ascii="仿宋_GB2312" w:hAnsi="仿宋_GB2312" w:eastAsia="仿宋_GB2312" w:cs="仿宋_GB2312"/>
          <w:sz w:val="32"/>
          <w:szCs w:val="22"/>
          <w:lang w:val="en-US" w:eastAsia="zh-CN"/>
        </w:rPr>
      </w:pPr>
    </w:p>
    <w:p w14:paraId="511D570E">
      <w:pPr>
        <w:spacing w:line="560" w:lineRule="exact"/>
        <w:rPr>
          <w:rFonts w:hint="eastAsia" w:ascii="仿宋_GB2312" w:hAnsi="仿宋_GB2312" w:eastAsia="仿宋_GB2312" w:cs="仿宋_GB2312"/>
          <w:sz w:val="32"/>
          <w:szCs w:val="22"/>
        </w:rPr>
      </w:pPr>
    </w:p>
    <w:p w14:paraId="30E0AED7">
      <w:pPr>
        <w:rPr>
          <w:rFonts w:ascii="Songti SC" w:hAnsi="Songti SC" w:eastAsia="Songti SC" w:cs="Songti SC"/>
        </w:rPr>
      </w:pPr>
    </w:p>
    <w:p w14:paraId="16FE6F2F">
      <w:pPr>
        <w:keepNext w:val="0"/>
        <w:keepLines w:val="0"/>
        <w:pageBreakBefore w:val="0"/>
        <w:widowControl/>
        <w:tabs>
          <w:tab w:val="left" w:pos="1074"/>
          <w:tab w:val="center" w:pos="4482"/>
        </w:tabs>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方正小标宋简体" w:hAnsi="方正小标宋简体" w:eastAsia="方正小标宋简体" w:cs="方正小标宋简体"/>
          <w:color w:val="000000"/>
          <w:spacing w:val="40"/>
          <w:kern w:val="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19AD"/>
    <w:multiLevelType w:val="singleLevel"/>
    <w:tmpl w:val="591019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ZGM5NDlhZDI2YTFkYzJkNGZiOTIyOTJiNGU4NTkifQ=="/>
  </w:docVars>
  <w:rsids>
    <w:rsidRoot w:val="00AA7DEB"/>
    <w:rsid w:val="004579E8"/>
    <w:rsid w:val="0062276C"/>
    <w:rsid w:val="0072669D"/>
    <w:rsid w:val="00994B40"/>
    <w:rsid w:val="00AA7DEB"/>
    <w:rsid w:val="00B02596"/>
    <w:rsid w:val="00B5149F"/>
    <w:rsid w:val="00B739EA"/>
    <w:rsid w:val="00BD6BF4"/>
    <w:rsid w:val="00DD6616"/>
    <w:rsid w:val="00EE5B86"/>
    <w:rsid w:val="020B14B2"/>
    <w:rsid w:val="03F37758"/>
    <w:rsid w:val="0BAD643E"/>
    <w:rsid w:val="0D1C54E2"/>
    <w:rsid w:val="0E7A7121"/>
    <w:rsid w:val="0F1F629E"/>
    <w:rsid w:val="10D031F2"/>
    <w:rsid w:val="10F03431"/>
    <w:rsid w:val="130D2F68"/>
    <w:rsid w:val="152A56DC"/>
    <w:rsid w:val="155D0C3A"/>
    <w:rsid w:val="1E6053A9"/>
    <w:rsid w:val="2060424F"/>
    <w:rsid w:val="23EC3D11"/>
    <w:rsid w:val="23F4427C"/>
    <w:rsid w:val="26F825D2"/>
    <w:rsid w:val="27202A1A"/>
    <w:rsid w:val="279A1841"/>
    <w:rsid w:val="2A3A7029"/>
    <w:rsid w:val="2B2F54CD"/>
    <w:rsid w:val="2B5620A4"/>
    <w:rsid w:val="2DCB357E"/>
    <w:rsid w:val="2FA7629A"/>
    <w:rsid w:val="30820708"/>
    <w:rsid w:val="30A00253"/>
    <w:rsid w:val="31F251D2"/>
    <w:rsid w:val="32C756D9"/>
    <w:rsid w:val="389F3AB6"/>
    <w:rsid w:val="38BD5411"/>
    <w:rsid w:val="3B861EE2"/>
    <w:rsid w:val="3CDF4B53"/>
    <w:rsid w:val="3D0D40C6"/>
    <w:rsid w:val="3D4A13DD"/>
    <w:rsid w:val="42A827EF"/>
    <w:rsid w:val="43547F9A"/>
    <w:rsid w:val="435647EB"/>
    <w:rsid w:val="45C35FED"/>
    <w:rsid w:val="47E56984"/>
    <w:rsid w:val="48064139"/>
    <w:rsid w:val="488F069E"/>
    <w:rsid w:val="4C6D050C"/>
    <w:rsid w:val="4ECF08FC"/>
    <w:rsid w:val="52CD174F"/>
    <w:rsid w:val="54A66EE6"/>
    <w:rsid w:val="55F370A7"/>
    <w:rsid w:val="5A0822BC"/>
    <w:rsid w:val="5EC944B2"/>
    <w:rsid w:val="63E623F0"/>
    <w:rsid w:val="645B7F10"/>
    <w:rsid w:val="653F5DC1"/>
    <w:rsid w:val="69823594"/>
    <w:rsid w:val="6C8A53B3"/>
    <w:rsid w:val="6E1E7F28"/>
    <w:rsid w:val="6E6331E7"/>
    <w:rsid w:val="6FF22D39"/>
    <w:rsid w:val="78B13131"/>
    <w:rsid w:val="79AC25AE"/>
    <w:rsid w:val="7A7A6F88"/>
    <w:rsid w:val="7B3F4634"/>
    <w:rsid w:val="7BF02C26"/>
    <w:rsid w:val="7C2D7D8D"/>
    <w:rsid w:val="7CEC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jc w:val="center"/>
      <w:outlineLvl w:val="0"/>
    </w:pPr>
    <w:rPr>
      <w:rFonts w:ascii="方正小标宋简体" w:eastAsia="方正小标宋简体" w:hAnsiTheme="majorHAnsi" w:cstheme="majorBidi"/>
      <w:bCs/>
      <w:sz w:val="44"/>
      <w:szCs w:val="32"/>
    </w:rPr>
  </w:style>
  <w:style w:type="character" w:customStyle="1" w:styleId="8">
    <w:name w:val="日期 字符"/>
    <w:basedOn w:val="7"/>
    <w:link w:val="2"/>
    <w:semiHidden/>
    <w:qFormat/>
    <w:uiPriority w:val="99"/>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1220</Words>
  <Characters>1326</Characters>
  <Lines>11</Lines>
  <Paragraphs>3</Paragraphs>
  <TotalTime>2</TotalTime>
  <ScaleCrop>false</ScaleCrop>
  <LinksUpToDate>false</LinksUpToDate>
  <CharactersWithSpaces>1393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2021-07-01T02:00:00Z</dcterms:created>
  <dc:creator>李颖</dc:creator>
  <cp:lastModifiedBy>小王</cp:lastModifiedBy>
  <cp:lastPrinted>2026-01-30T00:29:59Z</cp:lastPrinted>
  <dcterms:modified xsi:type="dcterms:W3CDTF">2026-01-30T00:30:08Z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A084642516E8490293D654F0DC330157</vt:lpwstr>
  </property>
  <property fmtid="{D5CDD505-2E9C-101B-9397-08002B2CF9AE}" pid="4" name="KSOTemplateDocerSaveRecord">
    <vt:lpwstr>eyJoZGlkIjoiMmY4ZGM5NDlhZDI2YTFkYzJkNGZiOTIyOTJiNGU4NTkiLCJ1c2VySWQiOiI1NjQxNTY2MDcifQ==</vt:lpwstr>
  </property>
</Properties>
</file>